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升级网络“主引擎”筑牢服务“新基石”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包头市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人社局高效完成办公大楼网络设备更新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为进一步提升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包头市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人社信息基础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设施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支撑能力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市人社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和驻楼各单位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网络畅通安全稳定运行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局综合保障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对局办公大楼内网络设备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运行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情况和问题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隐患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排查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整治，发现楼内网络设备存在设备老化、性能瓶颈及潜在安全隐患等问题，难以满足当前工作需要。局综合保障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立即结合工作实际组织开展了网络设备更新工作，并于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6月开始对大楼网络设备进行了为期3个月的渐进式更新。为了不影响楼内各单位正常工作开展，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局综合保障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利用非工作时间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陆续完成了33台老旧交换机的更新部署，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实现了“工作零中断、业务零感知”的平滑过渡，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有力提升了大楼整体网络通信服务质量。为进一步加强楼内网络系统安全防护水平，在本次网络设备更新的同时还在楼内安装防火墙2台，提高了网络整体抗攻击与抗风险能力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348105" cy="2340610"/>
            <wp:effectExtent l="0" t="0" r="4445" b="2540"/>
            <wp:docPr id="1" name="图片 1" descr="560b4a14991a42031d8b2dbef641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0b4a14991a42031d8b2dbef6413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301750" cy="2318385"/>
            <wp:effectExtent l="0" t="0" r="12700" b="5715"/>
            <wp:docPr id="2" name="图片 2" descr="3696e4e7bea4bf21be9ee0b6554e69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96e4e7bea4bf21be9ee0b6554e69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97330" cy="2432685"/>
            <wp:effectExtent l="0" t="0" r="7620" b="5715"/>
            <wp:docPr id="3" name="图片 3" descr="9a5009110669080cf7079a1da5607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5009110669080cf7079a1da56074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77010" cy="2428875"/>
            <wp:effectExtent l="0" t="0" r="8890" b="9525"/>
            <wp:docPr id="4" name="图片 4" descr="921cf6d856268ec9d3c7edd817a6c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1cf6d856268ec9d3c7edd817a6c3e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局综合保障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将继续做好大楼网络运行维护工作，定期开展排查整治，不断强化管理，持续筑牢网络安全防线，提高网络维护保障能力，确保楼内网络系统安全可靠，为服务好我市人社事业数字化转型和高质量发展奠定坚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0026"/>
    <w:rsid w:val="0AAF69E2"/>
    <w:rsid w:val="0B562DC0"/>
    <w:rsid w:val="10EC3151"/>
    <w:rsid w:val="115C13AF"/>
    <w:rsid w:val="19D11380"/>
    <w:rsid w:val="2FE454B1"/>
    <w:rsid w:val="37797999"/>
    <w:rsid w:val="3A2D6AC2"/>
    <w:rsid w:val="3E9363B7"/>
    <w:rsid w:val="4625208C"/>
    <w:rsid w:val="551C4766"/>
    <w:rsid w:val="58D93070"/>
    <w:rsid w:val="7C9831DC"/>
    <w:rsid w:val="7F113933"/>
    <w:rsid w:val="7FEC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491</Characters>
  <Lines>0</Lines>
  <Paragraphs>0</Paragraphs>
  <TotalTime>1</TotalTime>
  <ScaleCrop>false</ScaleCrop>
  <LinksUpToDate>false</LinksUpToDate>
  <CharactersWithSpaces>493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2025-11-05T08:18:00Z</dcterms:created>
  <dc:creator>Administrator</dc:creator>
  <cp:lastModifiedBy>付聿正</cp:lastModifiedBy>
  <dcterms:modified xsi:type="dcterms:W3CDTF">2025-11-07T01:33:16Z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KSOTemplateDocerSaveRecord">
    <vt:lpwstr>eyJoZGlkIjoiMDYwNjQyNjYzMWI2OGEyMDhhNjEyZGY1NTJhMjA4YzYiLCJ1c2VySWQiOiI1NDUxMTEwNjYifQ==</vt:lpwstr>
  </property>
  <property fmtid="{D5CDD505-2E9C-101B-9397-08002B2CF9AE}" pid="4" name="ICV">
    <vt:lpwstr>FAF4999125F648618C17D30969A708D2</vt:lpwstr>
  </property>
</Properties>
</file>